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6B" w:rsidRPr="00416FE1" w:rsidRDefault="00416FE1" w:rsidP="00416FE1">
      <w:pPr>
        <w:spacing w:after="0" w:line="240" w:lineRule="auto"/>
        <w:jc w:val="center"/>
        <w:rPr>
          <w:b/>
        </w:rPr>
      </w:pPr>
      <w:r>
        <w:rPr>
          <w:b/>
        </w:rPr>
        <w:t xml:space="preserve">AULA </w:t>
      </w:r>
      <w:r w:rsidR="008A33ED" w:rsidRPr="00416FE1">
        <w:rPr>
          <w:b/>
        </w:rPr>
        <w:t>RECURSO ORDINÁRIO</w:t>
      </w:r>
      <w:r>
        <w:rPr>
          <w:b/>
        </w:rPr>
        <w:t xml:space="preserve"> – EXAME OAB</w:t>
      </w:r>
    </w:p>
    <w:p w:rsidR="008A33ED" w:rsidRDefault="008A33ED" w:rsidP="00394813">
      <w:pPr>
        <w:spacing w:after="0" w:line="240" w:lineRule="auto"/>
        <w:jc w:val="both"/>
      </w:pPr>
      <w:r>
        <w:t>FUNDAMENTO 895,</w:t>
      </w:r>
      <w:r w:rsidR="00406DA4">
        <w:t xml:space="preserve"> </w:t>
      </w:r>
      <w:r>
        <w:t xml:space="preserve">I (VARA) E II (TRT – competência originária) DA </w:t>
      </w:r>
      <w:proofErr w:type="gramStart"/>
      <w:r>
        <w:t>CLT</w:t>
      </w:r>
      <w:proofErr w:type="gramEnd"/>
    </w:p>
    <w:p w:rsidR="007B3F6B" w:rsidRDefault="008A33ED" w:rsidP="00394813">
      <w:pPr>
        <w:spacing w:after="0" w:line="240" w:lineRule="auto"/>
        <w:jc w:val="both"/>
      </w:pPr>
      <w:r>
        <w:t xml:space="preserve">Prazo: </w:t>
      </w:r>
      <w:proofErr w:type="gramStart"/>
      <w:r>
        <w:t>8</w:t>
      </w:r>
      <w:proofErr w:type="gramEnd"/>
      <w:r>
        <w:t xml:space="preserve"> dias </w:t>
      </w:r>
      <w:r w:rsidR="00406DA4">
        <w:t xml:space="preserve">(Súmula 197 TST: </w:t>
      </w:r>
      <w:r w:rsidR="00406DA4" w:rsidRPr="00406DA4">
        <w:t>O prazo para recurso da parte que, intimada, não comparecer à audiência em prosseguimento para a prolação da sent</w:t>
      </w:r>
      <w:r w:rsidR="00406DA4">
        <w:t>ença conta-se de sua publicação)</w:t>
      </w:r>
    </w:p>
    <w:p w:rsidR="00EA053D" w:rsidRDefault="00EA053D" w:rsidP="00394813">
      <w:pPr>
        <w:spacing w:after="0" w:line="240" w:lineRule="auto"/>
        <w:jc w:val="both"/>
      </w:pPr>
      <w:r>
        <w:t>Excluir embargos de declaração!</w:t>
      </w:r>
    </w:p>
    <w:p w:rsidR="008A33ED" w:rsidRDefault="008A33ED" w:rsidP="00394813">
      <w:pPr>
        <w:spacing w:after="0" w:line="240" w:lineRule="auto"/>
        <w:jc w:val="both"/>
      </w:pPr>
      <w:proofErr w:type="gramStart"/>
      <w:r>
        <w:t>2</w:t>
      </w:r>
      <w:proofErr w:type="gramEnd"/>
      <w:r>
        <w:t xml:space="preserve"> folhas (interposição –folha de rosto-; e, razões)</w:t>
      </w:r>
    </w:p>
    <w:p w:rsidR="008A33ED" w:rsidRDefault="008A33ED" w:rsidP="00394813">
      <w:pPr>
        <w:spacing w:after="0" w:line="240" w:lineRule="auto"/>
        <w:jc w:val="both"/>
      </w:pPr>
    </w:p>
    <w:p w:rsidR="008A33ED" w:rsidRDefault="008A33ED" w:rsidP="00394813">
      <w:pPr>
        <w:spacing w:after="0" w:line="240" w:lineRule="auto"/>
        <w:jc w:val="both"/>
      </w:pPr>
      <w:r>
        <w:t>INTERPOSIÇÃO: juízo “a quo”</w:t>
      </w:r>
    </w:p>
    <w:p w:rsidR="008A33ED" w:rsidRDefault="008A33ED" w:rsidP="00394813">
      <w:pPr>
        <w:spacing w:after="0" w:line="240" w:lineRule="auto"/>
        <w:jc w:val="both"/>
      </w:pPr>
      <w:r>
        <w:t>Juízo de admissibilidade: (legitimidade, capacidade postulatória e de ser parte; interesse, tempestividade, custas e depósito</w:t>
      </w:r>
      <w:proofErr w:type="gramStart"/>
      <w:r>
        <w:t>)</w:t>
      </w:r>
      <w:proofErr w:type="gramEnd"/>
    </w:p>
    <w:p w:rsidR="007B3F6B" w:rsidRDefault="008A33ED" w:rsidP="00394813">
      <w:pPr>
        <w:spacing w:after="0" w:line="240" w:lineRule="auto"/>
        <w:jc w:val="both"/>
      </w:pPr>
      <w:r>
        <w:t>-às contrarrazões (art. 900</w:t>
      </w:r>
      <w:r w:rsidR="00A4161D">
        <w:t xml:space="preserve"> CLT</w:t>
      </w:r>
      <w:r>
        <w:t>).</w:t>
      </w:r>
    </w:p>
    <w:p w:rsidR="008A33ED" w:rsidRDefault="008A33ED" w:rsidP="00394813">
      <w:pPr>
        <w:spacing w:after="0" w:line="240" w:lineRule="auto"/>
        <w:jc w:val="both"/>
      </w:pPr>
    </w:p>
    <w:p w:rsidR="008A33ED" w:rsidRDefault="008A33ED" w:rsidP="00394813">
      <w:pPr>
        <w:spacing w:after="0" w:line="240" w:lineRule="auto"/>
        <w:jc w:val="both"/>
      </w:pPr>
      <w:r>
        <w:t>DEPÓSITO (GARANTIA)</w:t>
      </w:r>
    </w:p>
    <w:p w:rsidR="008A33ED" w:rsidRDefault="008A33ED" w:rsidP="00394813">
      <w:pPr>
        <w:spacing w:after="0" w:line="240" w:lineRule="auto"/>
        <w:jc w:val="both"/>
      </w:pPr>
      <w:r>
        <w:t xml:space="preserve">Só reclamada; RO, RR, EMBARGOS NO TST, RE E </w:t>
      </w:r>
      <w:proofErr w:type="gramStart"/>
      <w:r>
        <w:t>AI</w:t>
      </w:r>
      <w:proofErr w:type="gramEnd"/>
      <w:r>
        <w:t xml:space="preserve"> </w:t>
      </w:r>
    </w:p>
    <w:p w:rsidR="008A33ED" w:rsidRDefault="008A33ED" w:rsidP="00394813">
      <w:pPr>
        <w:spacing w:after="0" w:line="240" w:lineRule="auto"/>
        <w:jc w:val="both"/>
      </w:pPr>
      <w:r>
        <w:t>Atualização: 1º de agosto</w:t>
      </w:r>
    </w:p>
    <w:p w:rsidR="008A33ED" w:rsidRDefault="008A33ED" w:rsidP="00394813">
      <w:pPr>
        <w:spacing w:after="0" w:line="240" w:lineRule="auto"/>
        <w:jc w:val="both"/>
      </w:pPr>
      <w:r>
        <w:t>Redução</w:t>
      </w:r>
      <w:proofErr w:type="gramStart"/>
      <w:r>
        <w:t xml:space="preserve">  </w:t>
      </w:r>
      <w:proofErr w:type="gramEnd"/>
      <w:r>
        <w:t xml:space="preserve">50% </w:t>
      </w:r>
      <w:r w:rsidR="00AF45BE">
        <w:t xml:space="preserve">- art. </w:t>
      </w:r>
      <w:r>
        <w:t>899, §9º:</w:t>
      </w:r>
      <w:r>
        <w:t xml:space="preserve">: </w:t>
      </w:r>
      <w:proofErr w:type="spellStart"/>
      <w:r>
        <w:t>Ongs</w:t>
      </w:r>
      <w:proofErr w:type="spellEnd"/>
      <w:r>
        <w:t>, doméstico e MEI – ME – EPP</w:t>
      </w:r>
    </w:p>
    <w:p w:rsidR="008A33ED" w:rsidRDefault="00AF45BE" w:rsidP="00394813">
      <w:pPr>
        <w:spacing w:after="0" w:line="240" w:lineRule="auto"/>
        <w:jc w:val="both"/>
      </w:pPr>
      <w:r>
        <w:t xml:space="preserve">Isentos: 899, § 10º: justiça gratuita, </w:t>
      </w:r>
      <w:proofErr w:type="gramStart"/>
      <w:r>
        <w:t>filantrópicas e falida</w:t>
      </w:r>
      <w:proofErr w:type="gramEnd"/>
      <w:r>
        <w:t xml:space="preserve"> e recuperação judicial.</w:t>
      </w:r>
    </w:p>
    <w:p w:rsidR="00AF45BE" w:rsidRDefault="00AF45BE" w:rsidP="00394813">
      <w:pPr>
        <w:spacing w:after="0" w:line="240" w:lineRule="auto"/>
        <w:jc w:val="both"/>
      </w:pPr>
      <w:proofErr w:type="gramStart"/>
      <w:r>
        <w:t>Empresa públicas depositam</w:t>
      </w:r>
      <w:proofErr w:type="gramEnd"/>
      <w:r>
        <w:t>: S. 170 do TST (DL 779/69)</w:t>
      </w:r>
    </w:p>
    <w:p w:rsidR="008A33ED" w:rsidRDefault="00AF45BE" w:rsidP="00394813">
      <w:pPr>
        <w:spacing w:after="0" w:line="240" w:lineRule="auto"/>
        <w:jc w:val="both"/>
      </w:pPr>
      <w:r>
        <w:t>Onde depositar</w:t>
      </w:r>
      <w:proofErr w:type="gramStart"/>
      <w:r>
        <w:t>?:</w:t>
      </w:r>
      <w:proofErr w:type="gramEnd"/>
      <w:r>
        <w:t xml:space="preserve"> Conta vinculada ao juízo 899, </w:t>
      </w:r>
      <w:proofErr w:type="gramStart"/>
      <w:r>
        <w:t>§ 4º CLT)</w:t>
      </w:r>
      <w:proofErr w:type="gramEnd"/>
      <w:r>
        <w:t>, pode-se substituir por fiança (§ 1º).</w:t>
      </w:r>
    </w:p>
    <w:p w:rsidR="007B3F6B" w:rsidRDefault="00AF45BE" w:rsidP="00394813">
      <w:pPr>
        <w:spacing w:after="0" w:line="240" w:lineRule="auto"/>
        <w:jc w:val="both"/>
      </w:pPr>
      <w:r>
        <w:t>Recolhimento insuficiente: art. 1.007, § 2º CPC – 5 dias.</w:t>
      </w:r>
    </w:p>
    <w:p w:rsidR="00EA053D" w:rsidRDefault="00EA053D" w:rsidP="00394813">
      <w:pPr>
        <w:spacing w:after="0" w:line="240" w:lineRule="auto"/>
        <w:jc w:val="both"/>
      </w:pPr>
    </w:p>
    <w:p w:rsidR="00EA053D" w:rsidRDefault="00EA053D" w:rsidP="00A45F78">
      <w:pPr>
        <w:spacing w:after="0" w:line="240" w:lineRule="auto"/>
        <w:jc w:val="center"/>
      </w:pPr>
      <w:r w:rsidRPr="00A45F78">
        <w:rPr>
          <w:b/>
        </w:rPr>
        <w:t>INTERPOSIÇÃO</w:t>
      </w:r>
    </w:p>
    <w:p w:rsidR="00AF45BE" w:rsidRDefault="00EA053D" w:rsidP="00394813">
      <w:pPr>
        <w:spacing w:after="0" w:line="240" w:lineRule="auto"/>
        <w:jc w:val="both"/>
      </w:pPr>
      <w:r>
        <w:t xml:space="preserve">Endereçamento: juízo </w:t>
      </w:r>
      <w:r w:rsidRPr="00EA053D">
        <w:rPr>
          <w:i/>
        </w:rPr>
        <w:t>a quo</w:t>
      </w:r>
    </w:p>
    <w:p w:rsidR="00EA053D" w:rsidRDefault="00EA053D" w:rsidP="00394813">
      <w:pPr>
        <w:spacing w:after="0" w:line="240" w:lineRule="auto"/>
        <w:jc w:val="both"/>
      </w:pPr>
      <w:r>
        <w:t>Recorrente (por seu advogado)</w:t>
      </w:r>
    </w:p>
    <w:p w:rsidR="00EA053D" w:rsidRDefault="00EA053D" w:rsidP="00394813">
      <w:pPr>
        <w:spacing w:after="0" w:line="240" w:lineRule="auto"/>
        <w:jc w:val="both"/>
      </w:pPr>
      <w:r>
        <w:t>Fundamento: 895, I da CLT -</w:t>
      </w:r>
      <w:proofErr w:type="gramStart"/>
      <w:r>
        <w:t xml:space="preserve">  </w:t>
      </w:r>
      <w:proofErr w:type="gramEnd"/>
      <w:r w:rsidRPr="00EA053D">
        <w:rPr>
          <w:b/>
        </w:rPr>
        <w:t>interpor</w:t>
      </w:r>
      <w:r w:rsidRPr="00EA053D">
        <w:rPr>
          <w:b/>
        </w:rPr>
        <w:t xml:space="preserve"> RECURSO ORDINÁRIO</w:t>
      </w:r>
      <w:r>
        <w:rPr>
          <w:b/>
        </w:rPr>
        <w:t xml:space="preserve"> para o Egrégio Tribunal ___</w:t>
      </w:r>
    </w:p>
    <w:p w:rsidR="00EA053D" w:rsidRPr="00EA053D" w:rsidRDefault="00A45F78" w:rsidP="00A45F78">
      <w:pPr>
        <w:spacing w:after="0" w:line="240" w:lineRule="auto"/>
        <w:jc w:val="both"/>
        <w:rPr>
          <w:rFonts w:ascii="inherit" w:eastAsia="Times New Roman" w:hAnsi="inherit" w:cs="Times New Roman"/>
          <w:kern w:val="36"/>
          <w:sz w:val="24"/>
          <w:szCs w:val="24"/>
          <w:lang w:eastAsia="pt-BR"/>
        </w:rPr>
      </w:pPr>
      <w:r>
        <w:t>Depósito recursal 2019: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680"/>
        <w:gridCol w:w="1902"/>
        <w:gridCol w:w="1362"/>
        <w:gridCol w:w="1526"/>
        <w:gridCol w:w="2012"/>
      </w:tblGrid>
      <w:tr w:rsidR="00A4161D" w:rsidRPr="00EA053D" w:rsidTr="00EA05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DIVULGAÇÃO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INÍCIO</w:t>
            </w:r>
            <w:proofErr w:type="gramStart"/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 NORMATIVO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</w:t>
            </w: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ORDINÁRIO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RECURSO DE REVISTA</w:t>
            </w:r>
            <w:r w:rsidRPr="00EA053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  <w:t>EMBARGOS</w:t>
            </w:r>
            <w:r w:rsidRPr="00EA053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</w:r>
            <w:r w:rsidR="00A4161D" w:rsidRPr="00A4161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 EM AÇÃO RESCISÓRIA</w:t>
            </w:r>
          </w:p>
        </w:tc>
      </w:tr>
      <w:tr w:rsidR="00A4161D" w:rsidRPr="00EA053D" w:rsidTr="00EA05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EA053D" w:rsidRPr="00EA053D" w:rsidRDefault="00EA053D" w:rsidP="00A41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DEJT-12/07/2019</w:t>
            </w:r>
          </w:p>
          <w:p w:rsidR="00EA053D" w:rsidRPr="00EA053D" w:rsidRDefault="00EA053D" w:rsidP="00A416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ooltip="Ato da SEGJUD 247 de 2019 que divulga os novos valores referentes aos limites de depósito recursal previstos no art. 899 da Consolidação das Leis do Trabalho (CLT)" w:history="1">
              <w:r w:rsidRPr="00EA053D">
                <w:rPr>
                  <w:rFonts w:ascii="Times New Roman" w:eastAsia="Times New Roman" w:hAnsi="Times New Roman" w:cs="Times New Roman"/>
                  <w:color w:val="009AE5"/>
                  <w:sz w:val="24"/>
                  <w:szCs w:val="24"/>
                  <w:lang w:eastAsia="pt-BR"/>
                </w:rPr>
                <w:t xml:space="preserve">ATO </w:t>
              </w:r>
              <w:proofErr w:type="gramStart"/>
              <w:r w:rsidRPr="00EA053D">
                <w:rPr>
                  <w:rFonts w:ascii="Times New Roman" w:eastAsia="Times New Roman" w:hAnsi="Times New Roman" w:cs="Times New Roman"/>
                  <w:color w:val="009AE5"/>
                  <w:sz w:val="24"/>
                  <w:szCs w:val="24"/>
                  <w:lang w:eastAsia="pt-BR"/>
                </w:rPr>
                <w:t>SEGJUD.</w:t>
              </w:r>
              <w:proofErr w:type="gramEnd"/>
              <w:r w:rsidRPr="00EA053D">
                <w:rPr>
                  <w:rFonts w:ascii="Times New Roman" w:eastAsia="Times New Roman" w:hAnsi="Times New Roman" w:cs="Times New Roman"/>
                  <w:color w:val="009AE5"/>
                  <w:sz w:val="24"/>
                  <w:szCs w:val="24"/>
                  <w:lang w:eastAsia="pt-BR"/>
                </w:rPr>
                <w:t>GP N° 247/2019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R$ 9.828,51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R$ 19.657,02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53D" w:rsidRPr="00EA053D" w:rsidRDefault="00EA053D" w:rsidP="00A41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05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R$ 19.657,02</w:t>
            </w:r>
          </w:p>
        </w:tc>
      </w:tr>
    </w:tbl>
    <w:p w:rsidR="00EA053D" w:rsidRPr="00EA053D" w:rsidRDefault="00EA053D" w:rsidP="00EA05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EA053D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 </w:t>
      </w:r>
    </w:p>
    <w:p w:rsidR="00EA053D" w:rsidRDefault="00EA053D" w:rsidP="00EA053D">
      <w:pPr>
        <w:spacing w:after="0" w:line="240" w:lineRule="auto"/>
        <w:jc w:val="both"/>
      </w:pPr>
      <w:r w:rsidRPr="00A45F78">
        <w:rPr>
          <w:b/>
        </w:rPr>
        <w:t>Custas</w:t>
      </w:r>
      <w:r>
        <w:t xml:space="preserve">: </w:t>
      </w:r>
      <w:r>
        <w:t>Art. 789</w:t>
      </w:r>
      <w:r>
        <w:t xml:space="preserve"> CLT:</w:t>
      </w:r>
      <w:proofErr w:type="gramStart"/>
      <w:r>
        <w:t xml:space="preserve">  </w:t>
      </w:r>
      <w:proofErr w:type="gramEnd"/>
      <w:r>
        <w:t xml:space="preserve">Nos dissídios individuais e nos dissídios coletivos do trabalho, nas ações e procedimentos de competência da Justiça do Trabalho, bem como nas demandas propostas perante a Justiça Estadual, no exercício da jurisdição trabalhista, as custas relativas ao processo de conhecimento incidirão à base de 2% (dois por cento), observado o mínimo de R$ 10,64 (dez reais e sessenta e quatro centavos) e o máximo de quatro vezes o limite máximo dos benefícios do Regime Geral de Previdência Social, e serão calculadas:                       </w:t>
      </w:r>
    </w:p>
    <w:p w:rsidR="00EA053D" w:rsidRDefault="00EA053D" w:rsidP="00394813">
      <w:pPr>
        <w:spacing w:after="0" w:line="240" w:lineRule="auto"/>
        <w:jc w:val="both"/>
      </w:pPr>
      <w:r>
        <w:t xml:space="preserve">        § 1o </w:t>
      </w:r>
      <w:proofErr w:type="gramStart"/>
      <w:r>
        <w:t>As custas</w:t>
      </w:r>
      <w:proofErr w:type="gramEnd"/>
      <w:r>
        <w:t xml:space="preserve"> serão pagas pelo vencido, após o trânsito em julgado da decisão. No caso de recurso, </w:t>
      </w:r>
      <w:proofErr w:type="gramStart"/>
      <w:r>
        <w:t>as custas</w:t>
      </w:r>
      <w:proofErr w:type="gramEnd"/>
      <w:r>
        <w:t xml:space="preserve"> serão pagas e comprovado o recolhimento dentro do prazo recursal</w:t>
      </w:r>
      <w:r>
        <w:t>.</w:t>
      </w:r>
      <w:r w:rsidR="00E2253E">
        <w:t xml:space="preserve"> (guia: GRU)</w:t>
      </w:r>
    </w:p>
    <w:p w:rsidR="00EA053D" w:rsidRDefault="00A45F78" w:rsidP="00394813">
      <w:pPr>
        <w:spacing w:after="0" w:line="240" w:lineRule="auto"/>
        <w:jc w:val="both"/>
      </w:pPr>
      <w:r>
        <w:tab/>
        <w:t>Requerimento:</w:t>
      </w:r>
      <w:r w:rsidR="00677E4C">
        <w:t xml:space="preserve"> recebimento e remessa / Reforma da decisão / nulidade / extinção do feito!</w:t>
      </w:r>
    </w:p>
    <w:p w:rsidR="00A45F78" w:rsidRDefault="00A45F78" w:rsidP="00394813">
      <w:pPr>
        <w:spacing w:after="0" w:line="240" w:lineRule="auto"/>
        <w:jc w:val="both"/>
      </w:pPr>
      <w:r>
        <w:tab/>
        <w:t>Fecho.</w:t>
      </w:r>
    </w:p>
    <w:p w:rsidR="00A45F78" w:rsidRDefault="00A45F78" w:rsidP="00394813">
      <w:pPr>
        <w:spacing w:after="0" w:line="240" w:lineRule="auto"/>
        <w:jc w:val="both"/>
      </w:pPr>
    </w:p>
    <w:p w:rsidR="00A45F78" w:rsidRPr="00416FE1" w:rsidRDefault="00A45F78" w:rsidP="00416FE1">
      <w:pPr>
        <w:spacing w:after="0" w:line="240" w:lineRule="auto"/>
        <w:jc w:val="center"/>
        <w:rPr>
          <w:b/>
        </w:rPr>
      </w:pPr>
      <w:r w:rsidRPr="00416FE1">
        <w:rPr>
          <w:b/>
        </w:rPr>
        <w:t>RAZÕES</w:t>
      </w:r>
      <w:r w:rsidR="00416FE1">
        <w:rPr>
          <w:b/>
        </w:rPr>
        <w:t xml:space="preserve"> DO RECURSO ORDINÁRIO</w:t>
      </w:r>
    </w:p>
    <w:p w:rsidR="00A45F78" w:rsidRDefault="00A4161D" w:rsidP="00394813">
      <w:pPr>
        <w:spacing w:after="0" w:line="240" w:lineRule="auto"/>
        <w:jc w:val="both"/>
      </w:pPr>
      <w:r>
        <w:t>(juízo “</w:t>
      </w:r>
      <w:r w:rsidRPr="00A4161D">
        <w:rPr>
          <w:i/>
        </w:rPr>
        <w:t>ad quem</w:t>
      </w:r>
      <w:r>
        <w:t xml:space="preserve">”) </w:t>
      </w:r>
      <w:r w:rsidR="00A45F78">
        <w:t>Egrégio TRT da __ª Região.</w:t>
      </w:r>
    </w:p>
    <w:p w:rsidR="00A45F78" w:rsidRDefault="00A45F78" w:rsidP="00394813">
      <w:pPr>
        <w:spacing w:after="0" w:line="240" w:lineRule="auto"/>
        <w:jc w:val="both"/>
      </w:pPr>
      <w:r>
        <w:t>Razões RO</w:t>
      </w:r>
    </w:p>
    <w:p w:rsidR="00A45F78" w:rsidRPr="00A45F78" w:rsidRDefault="00A45F78" w:rsidP="00A45F78">
      <w:pPr>
        <w:spacing w:after="0" w:line="240" w:lineRule="auto"/>
        <w:ind w:firstLine="708"/>
        <w:jc w:val="both"/>
        <w:rPr>
          <w:b/>
        </w:rPr>
      </w:pPr>
      <w:r w:rsidRPr="00A45F78">
        <w:rPr>
          <w:b/>
        </w:rPr>
        <w:t>PRELIMINAR DE MÉRITO</w:t>
      </w:r>
    </w:p>
    <w:p w:rsidR="00A45F78" w:rsidRDefault="00A45F78" w:rsidP="00394813">
      <w:pPr>
        <w:spacing w:after="0" w:line="240" w:lineRule="auto"/>
        <w:jc w:val="both"/>
      </w:pPr>
      <w:r>
        <w:tab/>
        <w:t>-337 do CPC; vícios, nulidades processuais, ex.: perícia S. 357 TST, cerceamento de defesa mediante “protesto”;</w:t>
      </w:r>
    </w:p>
    <w:p w:rsidR="00A45F78" w:rsidRDefault="00A45F78" w:rsidP="00394813">
      <w:pPr>
        <w:spacing w:after="0" w:line="240" w:lineRule="auto"/>
        <w:jc w:val="both"/>
      </w:pPr>
    </w:p>
    <w:p w:rsidR="00A45F78" w:rsidRPr="00A45F78" w:rsidRDefault="00A45F78" w:rsidP="00A45F78">
      <w:pPr>
        <w:spacing w:after="0" w:line="240" w:lineRule="auto"/>
        <w:ind w:firstLine="708"/>
        <w:jc w:val="both"/>
        <w:rPr>
          <w:b/>
        </w:rPr>
      </w:pPr>
      <w:r w:rsidRPr="00A45F78">
        <w:rPr>
          <w:b/>
        </w:rPr>
        <w:t>PREJUDICIAL DE MÉRITO</w:t>
      </w:r>
    </w:p>
    <w:p w:rsidR="00A45F78" w:rsidRDefault="00A45F78" w:rsidP="00394813">
      <w:pPr>
        <w:spacing w:after="0" w:line="240" w:lineRule="auto"/>
        <w:jc w:val="both"/>
      </w:pPr>
      <w:r>
        <w:tab/>
        <w:t>-prescrição e decadência: art. 7, XXXIX CF/88 e art. 11 da CLT;</w:t>
      </w:r>
    </w:p>
    <w:p w:rsidR="00A45F78" w:rsidRDefault="00A45F78" w:rsidP="00394813">
      <w:pPr>
        <w:spacing w:after="0" w:line="240" w:lineRule="auto"/>
        <w:jc w:val="both"/>
      </w:pPr>
      <w:r>
        <w:lastRenderedPageBreak/>
        <w:tab/>
        <w:t>Sentença: com menção “requer reforma”; sem mencionar: “extinção com resolução de mérito”;</w:t>
      </w:r>
    </w:p>
    <w:p w:rsidR="00A45F78" w:rsidRDefault="00A45F78" w:rsidP="00394813">
      <w:pPr>
        <w:spacing w:after="0" w:line="240" w:lineRule="auto"/>
        <w:jc w:val="both"/>
      </w:pPr>
    </w:p>
    <w:p w:rsidR="00A45F78" w:rsidRPr="00A45F78" w:rsidRDefault="00A45F78" w:rsidP="00A45F78">
      <w:pPr>
        <w:spacing w:after="0" w:line="240" w:lineRule="auto"/>
        <w:ind w:firstLine="708"/>
        <w:jc w:val="both"/>
        <w:rPr>
          <w:b/>
        </w:rPr>
      </w:pPr>
      <w:r w:rsidRPr="00A45F78">
        <w:rPr>
          <w:b/>
        </w:rPr>
        <w:t>MÉRITO</w:t>
      </w:r>
    </w:p>
    <w:p w:rsidR="00A45F78" w:rsidRDefault="00A45F78" w:rsidP="00394813">
      <w:pPr>
        <w:spacing w:after="0" w:line="240" w:lineRule="auto"/>
        <w:jc w:val="both"/>
      </w:pPr>
      <w:r>
        <w:tab/>
        <w:t xml:space="preserve">Tópicos específicos: </w:t>
      </w:r>
      <w:proofErr w:type="spellStart"/>
      <w:r>
        <w:t>fato&amp;fundamento&amp;pedido</w:t>
      </w:r>
      <w:proofErr w:type="spellEnd"/>
      <w:r>
        <w:t>!</w:t>
      </w:r>
    </w:p>
    <w:p w:rsidR="00A45F78" w:rsidRDefault="00A45F78" w:rsidP="00394813">
      <w:pPr>
        <w:spacing w:after="0" w:line="240" w:lineRule="auto"/>
        <w:jc w:val="both"/>
      </w:pPr>
    </w:p>
    <w:p w:rsidR="00A45F78" w:rsidRPr="00A45F78" w:rsidRDefault="00A45F78" w:rsidP="00394813">
      <w:pPr>
        <w:spacing w:after="0" w:line="240" w:lineRule="auto"/>
        <w:jc w:val="both"/>
        <w:rPr>
          <w:b/>
        </w:rPr>
      </w:pPr>
      <w:r w:rsidRPr="00A45F78">
        <w:rPr>
          <w:b/>
        </w:rPr>
        <w:tab/>
        <w:t>REQUERIMENTOS FINAIS</w:t>
      </w:r>
    </w:p>
    <w:p w:rsidR="00A45F78" w:rsidRDefault="00A45F78" w:rsidP="00394813">
      <w:pPr>
        <w:spacing w:after="0" w:line="240" w:lineRule="auto"/>
        <w:jc w:val="both"/>
      </w:pPr>
      <w:r>
        <w:tab/>
        <w:t xml:space="preserve">Conhecimento </w:t>
      </w:r>
    </w:p>
    <w:p w:rsidR="00A45F78" w:rsidRDefault="00A45F78" w:rsidP="00394813">
      <w:pPr>
        <w:spacing w:after="0" w:line="240" w:lineRule="auto"/>
        <w:jc w:val="both"/>
      </w:pPr>
      <w:r>
        <w:tab/>
        <w:t>Acolhimento (preliminar / prejudic</w:t>
      </w:r>
      <w:r w:rsidR="00416FE1">
        <w:t>i</w:t>
      </w:r>
      <w:r>
        <w:t>ais</w:t>
      </w:r>
      <w:r w:rsidR="00416FE1">
        <w:t>: reforma da sentença ou extinção do feito com resolução 487 CPC);</w:t>
      </w:r>
    </w:p>
    <w:p w:rsidR="00A45F78" w:rsidRDefault="00A45F78" w:rsidP="00394813">
      <w:pPr>
        <w:spacing w:after="0" w:line="240" w:lineRule="auto"/>
        <w:jc w:val="both"/>
      </w:pPr>
      <w:r>
        <w:tab/>
        <w:t>Provimento: ”reforma da sentença</w:t>
      </w:r>
      <w:proofErr w:type="gramStart"/>
      <w:r>
        <w:t>”</w:t>
      </w:r>
      <w:proofErr w:type="gramEnd"/>
      <w:r>
        <w:tab/>
      </w:r>
    </w:p>
    <w:p w:rsidR="00A45F78" w:rsidRDefault="00A45F78" w:rsidP="00394813">
      <w:pPr>
        <w:spacing w:after="0" w:line="240" w:lineRule="auto"/>
        <w:jc w:val="both"/>
      </w:pPr>
    </w:p>
    <w:p w:rsidR="00A45F78" w:rsidRPr="00A45F78" w:rsidRDefault="00A45F78" w:rsidP="00394813">
      <w:pPr>
        <w:spacing w:after="0" w:line="240" w:lineRule="auto"/>
        <w:jc w:val="both"/>
        <w:rPr>
          <w:b/>
        </w:rPr>
      </w:pPr>
      <w:r>
        <w:tab/>
      </w:r>
      <w:r w:rsidRPr="00A45F78">
        <w:rPr>
          <w:b/>
        </w:rPr>
        <w:t>FECHO</w:t>
      </w:r>
      <w:r w:rsidRPr="00A45F78">
        <w:rPr>
          <w:b/>
        </w:rPr>
        <w:tab/>
      </w:r>
    </w:p>
    <w:p w:rsidR="00A45F78" w:rsidRDefault="00A45F78" w:rsidP="00394813">
      <w:pPr>
        <w:spacing w:after="0" w:line="240" w:lineRule="auto"/>
        <w:jc w:val="both"/>
      </w:pPr>
    </w:p>
    <w:p w:rsidR="00416FE1" w:rsidRPr="00416FE1" w:rsidRDefault="00416FE1" w:rsidP="00416FE1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Enunciado b</w:t>
      </w:r>
      <w:r w:rsidRPr="00416FE1">
        <w:rPr>
          <w:b/>
        </w:rPr>
        <w:t>aseando:</w:t>
      </w:r>
      <w:proofErr w:type="gramStart"/>
      <w:r w:rsidRPr="00416FE1">
        <w:rPr>
          <w:b/>
        </w:rPr>
        <w:t xml:space="preserve"> </w:t>
      </w:r>
      <w:r w:rsidRPr="00416FE1">
        <w:rPr>
          <w:b/>
        </w:rPr>
        <w:t xml:space="preserve"> </w:t>
      </w:r>
      <w:proofErr w:type="gramEnd"/>
      <w:r w:rsidRPr="00416FE1">
        <w:rPr>
          <w:b/>
        </w:rPr>
        <w:t xml:space="preserve">Trabalho Prática – OAB 2ª Fase, </w:t>
      </w:r>
      <w:proofErr w:type="spellStart"/>
      <w:r w:rsidRPr="00416FE1">
        <w:rPr>
          <w:b/>
        </w:rPr>
        <w:t>Aryanna</w:t>
      </w:r>
      <w:proofErr w:type="spellEnd"/>
      <w:r w:rsidRPr="00416FE1">
        <w:rPr>
          <w:b/>
        </w:rPr>
        <w:t xml:space="preserve"> Linhares, Ed. </w:t>
      </w:r>
      <w:proofErr w:type="spellStart"/>
      <w:r w:rsidRPr="00416FE1">
        <w:rPr>
          <w:b/>
        </w:rPr>
        <w:t>Juspodivm</w:t>
      </w:r>
      <w:proofErr w:type="spellEnd"/>
      <w:r w:rsidRPr="00416FE1">
        <w:rPr>
          <w:b/>
        </w:rPr>
        <w:t>, p.166)</w:t>
      </w:r>
    </w:p>
    <w:p w:rsidR="00416FE1" w:rsidRPr="00416FE1" w:rsidRDefault="00416FE1" w:rsidP="00394813">
      <w:pPr>
        <w:spacing w:after="0" w:line="240" w:lineRule="auto"/>
        <w:jc w:val="both"/>
        <w:rPr>
          <w:b/>
        </w:rPr>
      </w:pPr>
    </w:p>
    <w:p w:rsidR="007B3F6B" w:rsidRDefault="003C2A16" w:rsidP="00394813">
      <w:pPr>
        <w:spacing w:after="0" w:line="240" w:lineRule="auto"/>
        <w:jc w:val="both"/>
      </w:pPr>
      <w:r>
        <w:t xml:space="preserve">RESUMO DA SENTENÇA: VARA DO TRABALHO DE NOVA IGUAÇU – RJ. </w:t>
      </w:r>
    </w:p>
    <w:p w:rsidR="007B3F6B" w:rsidRDefault="003C2A16" w:rsidP="00394813">
      <w:pPr>
        <w:spacing w:after="0" w:line="240" w:lineRule="auto"/>
        <w:jc w:val="both"/>
      </w:pPr>
      <w:r>
        <w:t xml:space="preserve">PROCESSO XXX. </w:t>
      </w:r>
    </w:p>
    <w:p w:rsidR="003C2A16" w:rsidRDefault="003C2A16" w:rsidP="00394813">
      <w:pPr>
        <w:spacing w:after="0" w:line="240" w:lineRule="auto"/>
        <w:jc w:val="both"/>
      </w:pPr>
      <w:r>
        <w:t xml:space="preserve">AUTOR: TONASSIANDO JAIME. RÉU CAYMAN LTDA. </w:t>
      </w:r>
    </w:p>
    <w:p w:rsidR="00042A1F" w:rsidRDefault="00042A1F" w:rsidP="00394813">
      <w:pPr>
        <w:spacing w:after="0" w:line="240" w:lineRule="auto"/>
        <w:jc w:val="both"/>
      </w:pPr>
      <w:r>
        <w:t>FUNDAMENTAÇÃO</w:t>
      </w:r>
    </w:p>
    <w:p w:rsidR="0099615F" w:rsidRDefault="00042A1F" w:rsidP="00394813">
      <w:pPr>
        <w:spacing w:after="0" w:line="240" w:lineRule="auto"/>
        <w:jc w:val="both"/>
      </w:pPr>
      <w:r>
        <w:t>DAS FÉRIAS:</w:t>
      </w:r>
      <w:r w:rsidR="0099615F">
        <w:t xml:space="preserve"> R</w:t>
      </w:r>
      <w:r w:rsidRPr="00042A1F">
        <w:t xml:space="preserve">estou comprovado que no último período aquisitivo completo do contrato de trabalho, o recorrente teve </w:t>
      </w:r>
      <w:proofErr w:type="gramStart"/>
      <w:r w:rsidRPr="00042A1F">
        <w:t>5</w:t>
      </w:r>
      <w:proofErr w:type="gramEnd"/>
      <w:r w:rsidRPr="00042A1F">
        <w:t xml:space="preserve"> faltas injustificadas</w:t>
      </w:r>
      <w:r w:rsidR="0099615F">
        <w:t>,</w:t>
      </w:r>
      <w:r w:rsidRPr="00042A1F">
        <w:t xml:space="preserve"> razão pela qual o empregador lhe concedeu apenas 25 dias de férias</w:t>
      </w:r>
      <w:r w:rsidR="0099615F">
        <w:t>,</w:t>
      </w:r>
      <w:r w:rsidRPr="00042A1F">
        <w:t xml:space="preserve"> sendo indevidos os cinco dias de férias postulado</w:t>
      </w:r>
      <w:r w:rsidR="0099615F">
        <w:t>.</w:t>
      </w:r>
      <w:r w:rsidRPr="00042A1F">
        <w:t xml:space="preserve"> </w:t>
      </w:r>
      <w:r w:rsidR="0099615F">
        <w:t>I</w:t>
      </w:r>
      <w:r w:rsidRPr="00042A1F">
        <w:t>mprocede</w:t>
      </w:r>
      <w:r w:rsidR="0099615F">
        <w:t>.</w:t>
      </w:r>
    </w:p>
    <w:p w:rsidR="0099615F" w:rsidRDefault="0099615F" w:rsidP="00394813">
      <w:pPr>
        <w:spacing w:after="0" w:line="240" w:lineRule="auto"/>
        <w:jc w:val="both"/>
      </w:pPr>
      <w:r>
        <w:t xml:space="preserve">DA INSALUBRIDADE: Este </w:t>
      </w:r>
      <w:r w:rsidR="00042A1F" w:rsidRPr="00042A1F">
        <w:t>pedido fracassa porque a perícia realizada comprovou que o agente agressor detectada na perícia era divers</w:t>
      </w:r>
      <w:r>
        <w:t>o</w:t>
      </w:r>
      <w:r w:rsidR="00042A1F" w:rsidRPr="00042A1F">
        <w:t xml:space="preserve"> do apontado na petição inicial</w:t>
      </w:r>
      <w:r>
        <w:t>.</w:t>
      </w:r>
      <w:r w:rsidR="00042A1F" w:rsidRPr="00042A1F">
        <w:t xml:space="preserve"> </w:t>
      </w:r>
      <w:r>
        <w:t>N</w:t>
      </w:r>
      <w:r w:rsidR="00042A1F" w:rsidRPr="00042A1F">
        <w:t>ão procede</w:t>
      </w:r>
      <w:r>
        <w:t>.</w:t>
      </w:r>
    </w:p>
    <w:p w:rsidR="0099615F" w:rsidRDefault="0099615F" w:rsidP="00394813">
      <w:pPr>
        <w:spacing w:after="0" w:line="240" w:lineRule="auto"/>
        <w:jc w:val="both"/>
      </w:pPr>
      <w:r w:rsidRPr="00042A1F">
        <w:t>ANOTAÇÃO DE DISPENSA NA CARTEIRA DE TRABALHO E PREVIDÊNCIA SOCIAL</w:t>
      </w:r>
      <w:r>
        <w:t>: O</w:t>
      </w:r>
      <w:r w:rsidRPr="00042A1F">
        <w:t xml:space="preserve"> </w:t>
      </w:r>
      <w:proofErr w:type="spellStart"/>
      <w:r w:rsidR="00042A1F" w:rsidRPr="00042A1F">
        <w:t>acionante</w:t>
      </w:r>
      <w:proofErr w:type="spellEnd"/>
      <w:r w:rsidR="00042A1F" w:rsidRPr="00042A1F">
        <w:t xml:space="preserve"> deseja </w:t>
      </w:r>
      <w:proofErr w:type="gramStart"/>
      <w:r w:rsidR="00042A1F" w:rsidRPr="00042A1F">
        <w:t xml:space="preserve">a retificação de sua </w:t>
      </w:r>
      <w:r>
        <w:t xml:space="preserve">CTPS </w:t>
      </w:r>
      <w:r w:rsidR="00042A1F" w:rsidRPr="00042A1F">
        <w:t>no tocante a data</w:t>
      </w:r>
      <w:proofErr w:type="gramEnd"/>
      <w:r w:rsidR="00042A1F" w:rsidRPr="00042A1F">
        <w:t xml:space="preserve"> da dispensa para incluir o período do aviso</w:t>
      </w:r>
      <w:r>
        <w:t>-</w:t>
      </w:r>
      <w:r w:rsidR="00042A1F" w:rsidRPr="00042A1F">
        <w:t>prévio</w:t>
      </w:r>
      <w:r>
        <w:t>. O</w:t>
      </w:r>
      <w:r w:rsidR="00042A1F" w:rsidRPr="00042A1F">
        <w:t xml:space="preserve"> pedido está fadado ao insucesso</w:t>
      </w:r>
      <w:r>
        <w:t>,</w:t>
      </w:r>
      <w:r w:rsidR="00042A1F" w:rsidRPr="00042A1F">
        <w:t xml:space="preserve"> por</w:t>
      </w:r>
      <w:r>
        <w:t>quanto no caso em exame o aviso-</w:t>
      </w:r>
      <w:r w:rsidR="00042A1F" w:rsidRPr="00042A1F">
        <w:t>prévio foi indenizado</w:t>
      </w:r>
      <w:r>
        <w:t>, is</w:t>
      </w:r>
      <w:r w:rsidR="00042A1F" w:rsidRPr="00042A1F">
        <w:t>to é</w:t>
      </w:r>
      <w:r>
        <w:t>,</w:t>
      </w:r>
      <w:r w:rsidR="00042A1F" w:rsidRPr="00042A1F">
        <w:t xml:space="preserve"> não houve prestação de serviço no seu l</w:t>
      </w:r>
      <w:r>
        <w:t>a</w:t>
      </w:r>
      <w:r w:rsidR="00042A1F" w:rsidRPr="00042A1F">
        <w:t>ps</w:t>
      </w:r>
      <w:r>
        <w:t>o. L</w:t>
      </w:r>
      <w:r w:rsidR="00042A1F" w:rsidRPr="00042A1F">
        <w:t>ogo</w:t>
      </w:r>
      <w:r>
        <w:t>,</w:t>
      </w:r>
      <w:r w:rsidR="00042A1F" w:rsidRPr="00042A1F">
        <w:t xml:space="preserve"> tal período não pode ser considerado para anotação de carteira profissional</w:t>
      </w:r>
      <w:r>
        <w:t>. N</w:t>
      </w:r>
      <w:r w:rsidR="00042A1F" w:rsidRPr="00042A1F">
        <w:t>ão procede</w:t>
      </w:r>
      <w:r>
        <w:t>.</w:t>
      </w:r>
    </w:p>
    <w:p w:rsidR="00394813" w:rsidRDefault="0099615F" w:rsidP="00394813">
      <w:pPr>
        <w:spacing w:after="0" w:line="240" w:lineRule="auto"/>
        <w:jc w:val="both"/>
      </w:pPr>
      <w:r w:rsidRPr="00042A1F">
        <w:t>JUROS E CORREÇÃO MONETÁRIA</w:t>
      </w:r>
      <w:r>
        <w:t>:</w:t>
      </w:r>
      <w:r w:rsidRPr="00042A1F">
        <w:t xml:space="preserve"> </w:t>
      </w:r>
      <w:r w:rsidR="00394813">
        <w:t>N</w:t>
      </w:r>
      <w:r w:rsidR="00042A1F" w:rsidRPr="00042A1F">
        <w:t>a petição inicial</w:t>
      </w:r>
      <w:r w:rsidR="00394813">
        <w:t>,</w:t>
      </w:r>
      <w:r w:rsidR="00042A1F" w:rsidRPr="00042A1F">
        <w:t xml:space="preserve"> o autor não requereu ambos os títulos</w:t>
      </w:r>
      <w:r w:rsidR="00394813">
        <w:t>,</w:t>
      </w:r>
      <w:r w:rsidR="00042A1F" w:rsidRPr="00042A1F">
        <w:t xml:space="preserve"> pelo que não deverão ser adicionados aos cálculos de liquidação</w:t>
      </w:r>
      <w:r w:rsidR="00394813">
        <w:t>,</w:t>
      </w:r>
      <w:r w:rsidR="00042A1F" w:rsidRPr="00042A1F">
        <w:t xml:space="preserve"> já que a inicial fix</w:t>
      </w:r>
      <w:r w:rsidR="00394813">
        <w:t>a</w:t>
      </w:r>
      <w:r w:rsidR="00042A1F" w:rsidRPr="00042A1F">
        <w:t xml:space="preserve"> os contornos da lide eventual condenação</w:t>
      </w:r>
      <w:r w:rsidR="00394813">
        <w:t>.</w:t>
      </w:r>
    </w:p>
    <w:p w:rsidR="00042A1F" w:rsidRDefault="00394813" w:rsidP="00394813">
      <w:pPr>
        <w:spacing w:after="0" w:line="240" w:lineRule="auto"/>
        <w:jc w:val="both"/>
      </w:pPr>
      <w:r>
        <w:t>Diante</w:t>
      </w:r>
      <w:r w:rsidR="00042A1F" w:rsidRPr="00042A1F">
        <w:t xml:space="preserve"> do exposto julgo procedentes em parte os pedidos do autor na forma da fundamentação que </w:t>
      </w:r>
      <w:r w:rsidR="0083240F">
        <w:t>i</w:t>
      </w:r>
      <w:r w:rsidR="0083240F" w:rsidRPr="00042A1F">
        <w:t>ntegra</w:t>
      </w:r>
      <w:r w:rsidR="0083240F">
        <w:t xml:space="preserve"> </w:t>
      </w:r>
      <w:r w:rsidR="00042A1F" w:rsidRPr="00042A1F">
        <w:t>es</w:t>
      </w:r>
      <w:r w:rsidR="0083240F">
        <w:t>t</w:t>
      </w:r>
      <w:r w:rsidR="00042A1F" w:rsidRPr="00042A1F">
        <w:t>a decisão</w:t>
      </w:r>
      <w:r w:rsidR="0083240F">
        <w:t>. C</w:t>
      </w:r>
      <w:r w:rsidR="00042A1F" w:rsidRPr="00042A1F">
        <w:t>usta</w:t>
      </w:r>
      <w:r w:rsidR="0083240F">
        <w:t>s</w:t>
      </w:r>
      <w:r w:rsidR="00042A1F" w:rsidRPr="00042A1F">
        <w:t xml:space="preserve"> de </w:t>
      </w:r>
      <w:r>
        <w:t>R</w:t>
      </w:r>
      <w:r w:rsidR="00042A1F" w:rsidRPr="00042A1F">
        <w:t>$ 100</w:t>
      </w:r>
      <w:r>
        <w:t>,00</w:t>
      </w:r>
      <w:r w:rsidR="00042A1F" w:rsidRPr="00042A1F">
        <w:t xml:space="preserve"> sobre </w:t>
      </w:r>
      <w:r>
        <w:t xml:space="preserve">R$ </w:t>
      </w:r>
      <w:r w:rsidR="00042A1F" w:rsidRPr="00042A1F">
        <w:t>5.000</w:t>
      </w:r>
      <w:r>
        <w:t>,00</w:t>
      </w:r>
      <w:r w:rsidR="00042A1F" w:rsidRPr="00042A1F">
        <w:t xml:space="preserve"> pela ré</w:t>
      </w:r>
      <w:r>
        <w:t>. I</w:t>
      </w:r>
      <w:r w:rsidR="00042A1F" w:rsidRPr="00042A1F">
        <w:t>ntime-se</w:t>
      </w:r>
      <w:r>
        <w:t>.</w:t>
      </w:r>
    </w:p>
    <w:p w:rsidR="00394813" w:rsidRDefault="00394813" w:rsidP="00394813">
      <w:pPr>
        <w:spacing w:after="0" w:line="240" w:lineRule="auto"/>
        <w:jc w:val="both"/>
      </w:pPr>
    </w:p>
    <w:p w:rsidR="003C2A16" w:rsidRDefault="00394813" w:rsidP="00394813">
      <w:pPr>
        <w:spacing w:after="0" w:line="240" w:lineRule="auto"/>
        <w:jc w:val="both"/>
      </w:pPr>
      <w:r>
        <w:t xml:space="preserve">AO DOUTO JUÍZO DA VARA DO TRABALHO </w:t>
      </w:r>
      <w:r w:rsidR="003C2A16">
        <w:t>DE NOVA IGUAÇU/RJ</w:t>
      </w:r>
      <w:r>
        <w:t>.</w:t>
      </w:r>
    </w:p>
    <w:p w:rsidR="003C2A16" w:rsidRDefault="003C2A16" w:rsidP="00394813">
      <w:pPr>
        <w:spacing w:after="0" w:line="240" w:lineRule="auto"/>
        <w:jc w:val="both"/>
      </w:pPr>
    </w:p>
    <w:p w:rsidR="003C2A16" w:rsidRDefault="003C2A16" w:rsidP="00394813">
      <w:pPr>
        <w:spacing w:after="0" w:line="240" w:lineRule="auto"/>
        <w:jc w:val="both"/>
      </w:pPr>
      <w:r>
        <w:t xml:space="preserve">Processo nº </w:t>
      </w:r>
      <w:proofErr w:type="spellStart"/>
      <w:r>
        <w:t>xxx</w:t>
      </w:r>
      <w:proofErr w:type="spellEnd"/>
    </w:p>
    <w:p w:rsidR="003C2A16" w:rsidRDefault="003C2A16" w:rsidP="00394813">
      <w:pPr>
        <w:spacing w:after="0" w:line="240" w:lineRule="auto"/>
        <w:jc w:val="both"/>
      </w:pPr>
    </w:p>
    <w:p w:rsidR="003C2A16" w:rsidRDefault="003C2A16" w:rsidP="00394813">
      <w:pPr>
        <w:spacing w:after="0" w:line="240" w:lineRule="auto"/>
        <w:jc w:val="both"/>
      </w:pPr>
      <w:r>
        <w:t xml:space="preserve">TONASSIANDO JAIME, já qualificado nos autos em epigrafe, em que litiga em face de CAYMAN LTDA, também já qualificado nos autos em epigrafe, vem respeitosamente, perante Vossa </w:t>
      </w:r>
      <w:r w:rsidR="00394813">
        <w:t>Excelência</w:t>
      </w:r>
      <w:r>
        <w:t xml:space="preserve">, por seu advogado adiante assinado, com fulcro no art. 895, I, da CLT, </w:t>
      </w:r>
      <w:r w:rsidR="00394813">
        <w:t>interpor</w:t>
      </w:r>
      <w:r>
        <w:t>:</w:t>
      </w:r>
    </w:p>
    <w:p w:rsidR="00416FE1" w:rsidRDefault="00416FE1" w:rsidP="00394813">
      <w:pPr>
        <w:spacing w:after="0" w:line="240" w:lineRule="auto"/>
        <w:jc w:val="center"/>
      </w:pPr>
    </w:p>
    <w:p w:rsidR="003C2A16" w:rsidRDefault="003C2A16" w:rsidP="00394813">
      <w:pPr>
        <w:spacing w:after="0" w:line="240" w:lineRule="auto"/>
        <w:jc w:val="center"/>
      </w:pPr>
      <w:r>
        <w:t>RECURSO ORDINÁRIO</w:t>
      </w:r>
    </w:p>
    <w:p w:rsidR="003C2A16" w:rsidRDefault="003C2A16" w:rsidP="00394813">
      <w:pPr>
        <w:spacing w:after="0" w:line="240" w:lineRule="auto"/>
        <w:ind w:firstLine="708"/>
        <w:jc w:val="both"/>
      </w:pPr>
      <w:r>
        <w:t xml:space="preserve">Para o Egrégio Tribunal Regional do Trabalho da 1ª </w:t>
      </w:r>
      <w:r w:rsidR="00394813">
        <w:t xml:space="preserve">Região. </w:t>
      </w:r>
    </w:p>
    <w:p w:rsidR="003C2A16" w:rsidRDefault="00394813" w:rsidP="00394813">
      <w:pPr>
        <w:spacing w:after="0" w:line="240" w:lineRule="auto"/>
        <w:jc w:val="both"/>
      </w:pPr>
      <w:r>
        <w:tab/>
      </w:r>
      <w:r w:rsidR="003C2A16">
        <w:t>Encontram-se presente todos os pressupostos de admissibilidade do recurso.</w:t>
      </w:r>
    </w:p>
    <w:p w:rsidR="003C2A16" w:rsidRDefault="00394813" w:rsidP="00394813">
      <w:pPr>
        <w:spacing w:after="0" w:line="240" w:lineRule="auto"/>
        <w:jc w:val="both"/>
      </w:pPr>
      <w:r>
        <w:tab/>
      </w:r>
      <w:r w:rsidR="003C2A16">
        <w:t xml:space="preserve">Diante do exposto, requer o recebimento do recurso, a intimação da outra parte para apresentar contrarrazões ao recurso ordinário, no prazo de </w:t>
      </w:r>
      <w:proofErr w:type="gramStart"/>
      <w:r w:rsidR="003C2A16">
        <w:t>8</w:t>
      </w:r>
      <w:proofErr w:type="gramEnd"/>
      <w:r w:rsidR="003C2A16">
        <w:t xml:space="preserve"> dias, de acordo com o estabelecido pelo art. 900 da CLT e a posterior remessa ao Egrégio Trib</w:t>
      </w:r>
      <w:r>
        <w:t xml:space="preserve">unal do </w:t>
      </w:r>
      <w:r w:rsidR="0083240F">
        <w:t xml:space="preserve">Trabalho </w:t>
      </w:r>
      <w:r>
        <w:t xml:space="preserve">da 1ª </w:t>
      </w:r>
      <w:r w:rsidR="0083240F">
        <w:t>Região, juntamente com as guias de depósito recursal e custas anexas</w:t>
      </w:r>
      <w:r>
        <w:t xml:space="preserve">. </w:t>
      </w:r>
    </w:p>
    <w:p w:rsidR="003C2A16" w:rsidRDefault="003C2A16" w:rsidP="00394813">
      <w:pPr>
        <w:spacing w:after="0" w:line="240" w:lineRule="auto"/>
        <w:jc w:val="both"/>
      </w:pPr>
    </w:p>
    <w:p w:rsidR="003C2A16" w:rsidRDefault="003C2A16" w:rsidP="00394813">
      <w:pPr>
        <w:spacing w:after="0" w:line="240" w:lineRule="auto"/>
        <w:jc w:val="both"/>
      </w:pPr>
      <w:r>
        <w:t xml:space="preserve">Nestes termos, </w:t>
      </w:r>
    </w:p>
    <w:p w:rsidR="003C2A16" w:rsidRDefault="00394813" w:rsidP="00394813">
      <w:pPr>
        <w:spacing w:after="0" w:line="240" w:lineRule="auto"/>
        <w:jc w:val="both"/>
      </w:pPr>
      <w:r>
        <w:t>Pede deferimento.</w:t>
      </w:r>
    </w:p>
    <w:p w:rsidR="003C2A16" w:rsidRDefault="00394813" w:rsidP="00394813">
      <w:pPr>
        <w:spacing w:after="0" w:line="240" w:lineRule="auto"/>
        <w:jc w:val="both"/>
      </w:pPr>
      <w:r>
        <w:t>Local e data.</w:t>
      </w:r>
    </w:p>
    <w:p w:rsidR="003C2A16" w:rsidRDefault="003C2A16" w:rsidP="00394813">
      <w:pPr>
        <w:spacing w:after="0" w:line="240" w:lineRule="auto"/>
        <w:jc w:val="both"/>
      </w:pPr>
      <w:r>
        <w:t>Advogado</w:t>
      </w:r>
    </w:p>
    <w:p w:rsidR="003C2A16" w:rsidRDefault="00394813" w:rsidP="00394813">
      <w:pPr>
        <w:spacing w:after="0" w:line="240" w:lineRule="auto"/>
        <w:jc w:val="both"/>
      </w:pPr>
      <w:r>
        <w:t xml:space="preserve">OAB/UF </w:t>
      </w:r>
      <w:r w:rsidR="003C2A16">
        <w:t>nº</w:t>
      </w:r>
    </w:p>
    <w:p w:rsidR="003C2A16" w:rsidRPr="00EF6E18" w:rsidRDefault="003C2A16" w:rsidP="00EF6E18">
      <w:pPr>
        <w:spacing w:after="0" w:line="240" w:lineRule="auto"/>
        <w:jc w:val="center"/>
        <w:rPr>
          <w:b/>
        </w:rPr>
      </w:pPr>
      <w:bookmarkStart w:id="0" w:name="_GoBack"/>
      <w:r w:rsidRPr="00EF6E18">
        <w:rPr>
          <w:b/>
        </w:rPr>
        <w:lastRenderedPageBreak/>
        <w:t>EGRÉGIO TRIBUNAL REGIONAL DO TRABALHO DA 1ª REGIÃO</w:t>
      </w:r>
    </w:p>
    <w:bookmarkEnd w:id="0"/>
    <w:p w:rsidR="003C2A16" w:rsidRDefault="003C2A16" w:rsidP="00394813">
      <w:pPr>
        <w:spacing w:after="0" w:line="240" w:lineRule="auto"/>
        <w:jc w:val="both"/>
      </w:pPr>
    </w:p>
    <w:p w:rsidR="003C2A16" w:rsidRDefault="003C2A16" w:rsidP="00394813">
      <w:pPr>
        <w:spacing w:after="0" w:line="240" w:lineRule="auto"/>
        <w:jc w:val="both"/>
      </w:pPr>
      <w:r>
        <w:t xml:space="preserve">        RAZÕES DO RECURSO ORDINÁRIO</w:t>
      </w:r>
    </w:p>
    <w:p w:rsidR="003C2A16" w:rsidRDefault="003C2A16" w:rsidP="00394813">
      <w:pPr>
        <w:spacing w:after="0" w:line="240" w:lineRule="auto"/>
        <w:jc w:val="both"/>
      </w:pPr>
    </w:p>
    <w:p w:rsidR="003C2A16" w:rsidRDefault="0083240F" w:rsidP="00394813">
      <w:pPr>
        <w:spacing w:after="0" w:line="240" w:lineRule="auto"/>
        <w:jc w:val="both"/>
      </w:pPr>
      <w:r>
        <w:t>MÉRITO</w:t>
      </w:r>
    </w:p>
    <w:p w:rsidR="003C2A16" w:rsidRDefault="003C2A16" w:rsidP="00394813">
      <w:pPr>
        <w:spacing w:after="0" w:line="240" w:lineRule="auto"/>
        <w:jc w:val="both"/>
      </w:pPr>
    </w:p>
    <w:p w:rsidR="003C2A16" w:rsidRDefault="003C2A16" w:rsidP="00394813">
      <w:pPr>
        <w:spacing w:after="0" w:line="240" w:lineRule="auto"/>
        <w:jc w:val="both"/>
      </w:pPr>
      <w:r>
        <w:t xml:space="preserve">        O juízo “a quo” julgou improcedente o pedido do recorrente dos </w:t>
      </w:r>
      <w:proofErr w:type="gramStart"/>
      <w:r>
        <w:t>5</w:t>
      </w:r>
      <w:proofErr w:type="gramEnd"/>
      <w:r>
        <w:t xml:space="preserve"> dias faltantes de férias, sob o argumento d</w:t>
      </w:r>
      <w:r w:rsidR="0083240F">
        <w:t>e que restou comprovado que no ú</w:t>
      </w:r>
      <w:r>
        <w:t>ltimo período aquisitivo completo do contrato de trabalho ele teve 5 faltas injustificadas.</w:t>
      </w:r>
    </w:p>
    <w:p w:rsidR="003C2A16" w:rsidRDefault="003C2A16" w:rsidP="00394813">
      <w:pPr>
        <w:spacing w:after="0" w:line="240" w:lineRule="auto"/>
        <w:jc w:val="both"/>
      </w:pPr>
      <w:r>
        <w:t xml:space="preserve">        A sentença não merece ser mantida</w:t>
      </w:r>
      <w:r w:rsidR="0083240F">
        <w:t>,</w:t>
      </w:r>
      <w:r>
        <w:t xml:space="preserve"> pois, nos termos do art. 130, I, da CLT, o empregado terá direito </w:t>
      </w:r>
      <w:proofErr w:type="gramStart"/>
      <w:r>
        <w:t>a</w:t>
      </w:r>
      <w:proofErr w:type="gramEnd"/>
      <w:r>
        <w:t xml:space="preserve"> 30 dias corridos de férias, quando não houve faltado </w:t>
      </w:r>
      <w:r w:rsidR="0083240F">
        <w:t xml:space="preserve">ao serviço </w:t>
      </w:r>
      <w:r>
        <w:t xml:space="preserve">mais de 5 </w:t>
      </w:r>
      <w:r w:rsidR="0083240F">
        <w:t xml:space="preserve">vezes </w:t>
      </w:r>
      <w:r>
        <w:t>durante o período aquisitivo</w:t>
      </w:r>
      <w:r w:rsidR="0083240F">
        <w:t>.</w:t>
      </w:r>
    </w:p>
    <w:p w:rsidR="0083240F" w:rsidRDefault="0083240F" w:rsidP="00394813">
      <w:pPr>
        <w:spacing w:after="0" w:line="240" w:lineRule="auto"/>
        <w:jc w:val="both"/>
      </w:pPr>
      <w:r>
        <w:tab/>
        <w:t>Diante do exposto, requer a reforma da sentença para julgar procedente o pedido recorrente.</w:t>
      </w:r>
    </w:p>
    <w:p w:rsidR="003C2A16" w:rsidRDefault="003C2A16" w:rsidP="00394813">
      <w:pPr>
        <w:spacing w:after="0" w:line="240" w:lineRule="auto"/>
        <w:jc w:val="both"/>
      </w:pPr>
    </w:p>
    <w:p w:rsidR="003C2A16" w:rsidRDefault="0083240F" w:rsidP="00394813">
      <w:pPr>
        <w:spacing w:after="0" w:line="240" w:lineRule="auto"/>
        <w:jc w:val="both"/>
      </w:pPr>
      <w:r>
        <w:t>ADICIONAL DE INSALUBRIDADE</w:t>
      </w:r>
    </w:p>
    <w:p w:rsidR="003C2A16" w:rsidRDefault="003C2A16" w:rsidP="00394813">
      <w:pPr>
        <w:spacing w:after="0" w:line="240" w:lineRule="auto"/>
        <w:jc w:val="both"/>
      </w:pPr>
      <w:r>
        <w:t xml:space="preserve">        O juízo </w:t>
      </w:r>
      <w:r w:rsidRPr="0083240F">
        <w:rPr>
          <w:i/>
        </w:rPr>
        <w:t>a quo</w:t>
      </w:r>
      <w:r>
        <w:t xml:space="preserve"> julgou improcedente o pedido de adicional de insalubridade porque a </w:t>
      </w:r>
      <w:r w:rsidR="0083240F">
        <w:t xml:space="preserve">perícia </w:t>
      </w:r>
      <w:r>
        <w:t>realizada comprovou que o agente agressor detectado era diverso do apontado na petição inicial.</w:t>
      </w:r>
    </w:p>
    <w:p w:rsidR="0083240F" w:rsidRDefault="003C2A16" w:rsidP="00394813">
      <w:pPr>
        <w:spacing w:after="0" w:line="240" w:lineRule="auto"/>
        <w:jc w:val="both"/>
      </w:pPr>
      <w:r>
        <w:t xml:space="preserve">        A sentença não merece ser mantida, pois nos termos da </w:t>
      </w:r>
      <w:r w:rsidR="0083240F">
        <w:t>Sú</w:t>
      </w:r>
      <w:r>
        <w:t xml:space="preserve">mula 293 do TST, o juiz não esta vinculado ao agente </w:t>
      </w:r>
      <w:r w:rsidR="0083240F">
        <w:t>indicado pelo reclamante</w:t>
      </w:r>
      <w:r>
        <w:t>, p</w:t>
      </w:r>
      <w:r w:rsidR="0083240F">
        <w:t>odendo deferir o adicional de insalubridade por agente insalubre diverso da inicial.</w:t>
      </w:r>
    </w:p>
    <w:p w:rsidR="00D24F3D" w:rsidRDefault="003C2A16" w:rsidP="00394813">
      <w:pPr>
        <w:spacing w:after="0" w:line="240" w:lineRule="auto"/>
        <w:jc w:val="both"/>
      </w:pPr>
      <w:r>
        <w:t xml:space="preserve">        Diante do exposto, requer a reforma da sentença para julgar procedente o pedido </w:t>
      </w:r>
      <w:r w:rsidR="0083240F">
        <w:t>de adicional de insalubridade.</w:t>
      </w:r>
    </w:p>
    <w:p w:rsidR="0083240F" w:rsidRDefault="0083240F" w:rsidP="00394813">
      <w:pPr>
        <w:spacing w:after="0" w:line="240" w:lineRule="auto"/>
        <w:jc w:val="both"/>
      </w:pPr>
    </w:p>
    <w:p w:rsidR="0083240F" w:rsidRDefault="007B3F6B" w:rsidP="00394813">
      <w:pPr>
        <w:spacing w:after="0" w:line="240" w:lineRule="auto"/>
        <w:jc w:val="both"/>
      </w:pPr>
      <w:r>
        <w:t xml:space="preserve">CTPS - </w:t>
      </w:r>
      <w:r w:rsidRPr="0083240F">
        <w:t>ANOTAÇÃO DA DATA DE SAÍDA</w:t>
      </w:r>
      <w:r>
        <w:t>.</w:t>
      </w:r>
    </w:p>
    <w:p w:rsidR="007B3F6B" w:rsidRDefault="0083240F" w:rsidP="0083240F">
      <w:pPr>
        <w:spacing w:after="0" w:line="240" w:lineRule="auto"/>
        <w:ind w:firstLine="708"/>
        <w:jc w:val="both"/>
      </w:pPr>
      <w:r>
        <w:t xml:space="preserve">O </w:t>
      </w:r>
      <w:r w:rsidRPr="0083240F">
        <w:t xml:space="preserve">juízo </w:t>
      </w:r>
      <w:r w:rsidRPr="0083240F">
        <w:rPr>
          <w:i/>
        </w:rPr>
        <w:t>a quo</w:t>
      </w:r>
      <w:r w:rsidRPr="0083240F">
        <w:t xml:space="preserve"> julgou improcedente o pedido da recorrente de retificação de sua CTPS no tocante à data d</w:t>
      </w:r>
      <w:r w:rsidR="007B3F6B">
        <w:t>a dispensa para incluir o aviso-</w:t>
      </w:r>
      <w:r w:rsidRPr="0083240F">
        <w:t>prévio indenizado</w:t>
      </w:r>
      <w:r w:rsidR="007B3F6B">
        <w:t>,</w:t>
      </w:r>
      <w:r w:rsidRPr="0083240F">
        <w:t xml:space="preserve"> por entender que não houve prestação de serviços no seu lapso.</w:t>
      </w:r>
    </w:p>
    <w:p w:rsidR="007B3F6B" w:rsidRDefault="0083240F" w:rsidP="0083240F">
      <w:pPr>
        <w:spacing w:after="0" w:line="240" w:lineRule="auto"/>
        <w:ind w:firstLine="708"/>
        <w:jc w:val="both"/>
      </w:pPr>
      <w:r w:rsidRPr="0083240F">
        <w:t xml:space="preserve">A sentença não merece ser mantida, </w:t>
      </w:r>
      <w:r w:rsidR="007B3F6B">
        <w:t>p</w:t>
      </w:r>
      <w:r w:rsidRPr="0083240F">
        <w:t xml:space="preserve">ois, nos termos do artigo </w:t>
      </w:r>
      <w:r w:rsidR="007B3F6B">
        <w:t>487, §1</w:t>
      </w:r>
      <w:r w:rsidRPr="0083240F">
        <w:t>º da CLT</w:t>
      </w:r>
      <w:r w:rsidR="007B3F6B">
        <w:t>,</w:t>
      </w:r>
      <w:r w:rsidRPr="0083240F">
        <w:t xml:space="preserve"> o aviso</w:t>
      </w:r>
      <w:r w:rsidR="007B3F6B">
        <w:t>-prévio</w:t>
      </w:r>
      <w:r w:rsidRPr="0083240F">
        <w:t xml:space="preserve"> integra o tempo de serviço do empregado</w:t>
      </w:r>
      <w:r w:rsidR="007B3F6B">
        <w:t>.</w:t>
      </w:r>
      <w:r w:rsidRPr="0083240F">
        <w:t xml:space="preserve"> </w:t>
      </w:r>
      <w:r w:rsidR="007B3F6B" w:rsidRPr="0083240F">
        <w:t xml:space="preserve">Em </w:t>
      </w:r>
      <w:r w:rsidRPr="0083240F">
        <w:t>razão disso, entend</w:t>
      </w:r>
      <w:r w:rsidR="007B3F6B">
        <w:t xml:space="preserve">e </w:t>
      </w:r>
      <w:r w:rsidRPr="0083240F">
        <w:t>o Tribunal Superior do Trabalho</w:t>
      </w:r>
      <w:r w:rsidR="007B3F6B">
        <w:t>,</w:t>
      </w:r>
      <w:r w:rsidRPr="0083240F">
        <w:t xml:space="preserve"> segundo </w:t>
      </w:r>
      <w:r w:rsidR="007B3F6B">
        <w:t>O</w:t>
      </w:r>
      <w:r w:rsidRPr="0083240F">
        <w:t xml:space="preserve">J 82 da </w:t>
      </w:r>
      <w:r w:rsidR="007B3F6B" w:rsidRPr="0083240F">
        <w:t>SDI</w:t>
      </w:r>
      <w:r w:rsidRPr="0083240F">
        <w:t>-1</w:t>
      </w:r>
      <w:r w:rsidR="007B3F6B">
        <w:t>,</w:t>
      </w:r>
      <w:r w:rsidRPr="0083240F">
        <w:t xml:space="preserve"> que a data de saída a ser anotada na CTPS do empregado deve ser a do último dia do aviso</w:t>
      </w:r>
      <w:r w:rsidR="007B3F6B">
        <w:t>-</w:t>
      </w:r>
      <w:r w:rsidRPr="0083240F">
        <w:t>prévio</w:t>
      </w:r>
      <w:r w:rsidR="007B3F6B">
        <w:t xml:space="preserve">, seja </w:t>
      </w:r>
      <w:r w:rsidRPr="0083240F">
        <w:t>indenizado ou não</w:t>
      </w:r>
      <w:r w:rsidR="007B3F6B">
        <w:t>.</w:t>
      </w:r>
    </w:p>
    <w:p w:rsidR="007B3F6B" w:rsidRDefault="0083240F" w:rsidP="0083240F">
      <w:pPr>
        <w:spacing w:after="0" w:line="240" w:lineRule="auto"/>
        <w:ind w:firstLine="708"/>
        <w:jc w:val="both"/>
      </w:pPr>
      <w:r w:rsidRPr="0083240F">
        <w:t>Diante do exposto</w:t>
      </w:r>
      <w:r w:rsidR="007B3F6B">
        <w:t>,</w:t>
      </w:r>
      <w:r w:rsidRPr="0083240F">
        <w:t xml:space="preserve"> requer a reforma da sentença para que seja determinada a retificação da carteira de trabalho de modo que com con</w:t>
      </w:r>
      <w:r w:rsidR="007B3F6B">
        <w:t>s</w:t>
      </w:r>
      <w:r w:rsidRPr="0083240F">
        <w:t xml:space="preserve">te como a data </w:t>
      </w:r>
      <w:r w:rsidR="007B3F6B">
        <w:t>de saída do último dia do aviso-</w:t>
      </w:r>
      <w:r w:rsidRPr="0083240F">
        <w:t xml:space="preserve">prévio indenizado. </w:t>
      </w:r>
    </w:p>
    <w:p w:rsidR="007B3F6B" w:rsidRDefault="007B3F6B" w:rsidP="007B3F6B">
      <w:pPr>
        <w:spacing w:after="0" w:line="240" w:lineRule="auto"/>
        <w:jc w:val="both"/>
      </w:pPr>
    </w:p>
    <w:p w:rsidR="007B3F6B" w:rsidRDefault="007B3F6B" w:rsidP="007B3F6B">
      <w:pPr>
        <w:spacing w:after="0" w:line="240" w:lineRule="auto"/>
        <w:jc w:val="both"/>
      </w:pPr>
      <w:r w:rsidRPr="0083240F">
        <w:t>JUROS E CORREÇÃO MONETÁRIA</w:t>
      </w:r>
    </w:p>
    <w:p w:rsidR="007B3F6B" w:rsidRDefault="007B3F6B" w:rsidP="007B3F6B">
      <w:pPr>
        <w:spacing w:after="0" w:line="240" w:lineRule="auto"/>
        <w:ind w:firstLine="708"/>
        <w:jc w:val="both"/>
      </w:pPr>
      <w:r>
        <w:t>O</w:t>
      </w:r>
      <w:r w:rsidR="0083240F" w:rsidRPr="0083240F">
        <w:t xml:space="preserve"> juízo a quo indeferiu juros e correção monetária o recorrente em razão da ausência do pedido nesse sentido</w:t>
      </w:r>
      <w:r>
        <w:t>.</w:t>
      </w:r>
    </w:p>
    <w:p w:rsidR="007B3F6B" w:rsidRDefault="007B3F6B" w:rsidP="007B3F6B">
      <w:pPr>
        <w:spacing w:after="0" w:line="240" w:lineRule="auto"/>
        <w:ind w:firstLine="708"/>
        <w:jc w:val="both"/>
      </w:pPr>
      <w:r>
        <w:t>A</w:t>
      </w:r>
      <w:r w:rsidR="0083240F" w:rsidRPr="0083240F">
        <w:t xml:space="preserve"> sentença não merece ser mantida</w:t>
      </w:r>
      <w:r>
        <w:t>,</w:t>
      </w:r>
      <w:r w:rsidR="0083240F" w:rsidRPr="0083240F">
        <w:t xml:space="preserve"> uma vez que estes são pedidos implícitos, com fulcro no artigo 322 parágrafo 1º do CPC e da </w:t>
      </w:r>
      <w:r>
        <w:t>S</w:t>
      </w:r>
      <w:r w:rsidR="0083240F" w:rsidRPr="0083240F">
        <w:t>úmula 211 do TST</w:t>
      </w:r>
      <w:r>
        <w:t>,</w:t>
      </w:r>
      <w:r w:rsidR="0083240F" w:rsidRPr="0083240F">
        <w:t xml:space="preserve"> de modo que se incluem na liquidação, ainda que omisso pedido Inicial ou da condenação. </w:t>
      </w:r>
    </w:p>
    <w:p w:rsidR="007B3F6B" w:rsidRDefault="0083240F" w:rsidP="007B3F6B">
      <w:pPr>
        <w:spacing w:after="0" w:line="240" w:lineRule="auto"/>
        <w:ind w:firstLine="708"/>
        <w:jc w:val="both"/>
      </w:pPr>
      <w:r w:rsidRPr="0083240F">
        <w:t>Diante do exposto</w:t>
      </w:r>
      <w:r w:rsidR="007B3F6B">
        <w:t>.</w:t>
      </w:r>
      <w:r w:rsidRPr="0083240F">
        <w:t xml:space="preserve"> </w:t>
      </w:r>
      <w:proofErr w:type="gramStart"/>
      <w:r w:rsidRPr="0083240F">
        <w:t>requer</w:t>
      </w:r>
      <w:proofErr w:type="gramEnd"/>
      <w:r w:rsidRPr="0083240F">
        <w:t xml:space="preserve"> a reforma da inclusão dos juros e correção monetária na condenação</w:t>
      </w:r>
      <w:r w:rsidR="007B3F6B">
        <w:t>.</w:t>
      </w:r>
    </w:p>
    <w:p w:rsidR="007B3F6B" w:rsidRDefault="007B3F6B" w:rsidP="007B3F6B">
      <w:pPr>
        <w:spacing w:after="0" w:line="240" w:lineRule="auto"/>
        <w:jc w:val="both"/>
      </w:pPr>
    </w:p>
    <w:p w:rsidR="007B3F6B" w:rsidRDefault="007B3F6B" w:rsidP="007B3F6B">
      <w:pPr>
        <w:spacing w:after="0" w:line="240" w:lineRule="auto"/>
        <w:jc w:val="both"/>
      </w:pPr>
      <w:r w:rsidRPr="0083240F">
        <w:t xml:space="preserve">REQUERIMENTOS FINAIS </w:t>
      </w:r>
    </w:p>
    <w:p w:rsidR="007B3F6B" w:rsidRDefault="0083240F" w:rsidP="007B3F6B">
      <w:pPr>
        <w:spacing w:after="0" w:line="240" w:lineRule="auto"/>
        <w:ind w:firstLine="708"/>
        <w:jc w:val="both"/>
      </w:pPr>
      <w:r w:rsidRPr="0083240F">
        <w:t xml:space="preserve">Diante do exposto requer o reconhecimento do presente recurso e no mérito o seu provimento para fins de reforma da sentença para julgar </w:t>
      </w:r>
      <w:proofErr w:type="gramStart"/>
      <w:r w:rsidRPr="0083240F">
        <w:t>procedente as po</w:t>
      </w:r>
      <w:r w:rsidR="007B3F6B">
        <w:t>st</w:t>
      </w:r>
      <w:r w:rsidRPr="0083240F">
        <w:t>ulações</w:t>
      </w:r>
      <w:r w:rsidR="007B3F6B">
        <w:t xml:space="preserve"> </w:t>
      </w:r>
      <w:r w:rsidRPr="0083240F">
        <w:t xml:space="preserve">do recorrente </w:t>
      </w:r>
      <w:r w:rsidR="007B3F6B">
        <w:t>e condenar o recorrido</w:t>
      </w:r>
      <w:proofErr w:type="gramEnd"/>
      <w:r w:rsidR="007B3F6B">
        <w:t xml:space="preserve"> ao adicional de insalubridade com os devidos acréscimos dos juros e correção monetária, bem como, a anotação na CTPS a do último do dia do aviso prévio.</w:t>
      </w:r>
    </w:p>
    <w:p w:rsidR="007B3F6B" w:rsidRDefault="007B3F6B" w:rsidP="007B3F6B">
      <w:pPr>
        <w:spacing w:after="0" w:line="240" w:lineRule="auto"/>
        <w:ind w:firstLine="708"/>
        <w:jc w:val="both"/>
      </w:pPr>
    </w:p>
    <w:p w:rsidR="007B3F6B" w:rsidRDefault="007B3F6B" w:rsidP="007B3F6B">
      <w:pPr>
        <w:spacing w:after="0" w:line="240" w:lineRule="auto"/>
        <w:ind w:firstLine="708"/>
        <w:jc w:val="both"/>
      </w:pPr>
      <w:r>
        <w:t>N</w:t>
      </w:r>
      <w:r w:rsidR="0083240F" w:rsidRPr="0083240F">
        <w:t>es</w:t>
      </w:r>
      <w:r>
        <w:t>t</w:t>
      </w:r>
      <w:r w:rsidR="0083240F" w:rsidRPr="0083240F">
        <w:t xml:space="preserve">es termos, </w:t>
      </w:r>
    </w:p>
    <w:p w:rsidR="007B3F6B" w:rsidRDefault="007B3F6B" w:rsidP="007B3F6B">
      <w:pPr>
        <w:spacing w:after="0" w:line="240" w:lineRule="auto"/>
        <w:ind w:firstLine="708"/>
        <w:jc w:val="both"/>
      </w:pPr>
      <w:r>
        <w:t>P</w:t>
      </w:r>
      <w:r w:rsidR="0083240F" w:rsidRPr="0083240F">
        <w:t>ede deferimento</w:t>
      </w:r>
      <w:r>
        <w:t>.</w:t>
      </w:r>
    </w:p>
    <w:p w:rsidR="007B3F6B" w:rsidRDefault="007B3F6B" w:rsidP="007B3F6B">
      <w:pPr>
        <w:spacing w:after="0" w:line="240" w:lineRule="auto"/>
        <w:ind w:firstLine="708"/>
        <w:jc w:val="both"/>
      </w:pPr>
      <w:r>
        <w:t>L</w:t>
      </w:r>
      <w:r w:rsidR="0083240F" w:rsidRPr="0083240F">
        <w:t>ocal e data</w:t>
      </w:r>
      <w:r>
        <w:t>.</w:t>
      </w:r>
    </w:p>
    <w:p w:rsidR="00416FE1" w:rsidRDefault="00416FE1" w:rsidP="007B3F6B">
      <w:pPr>
        <w:spacing w:after="0" w:line="240" w:lineRule="auto"/>
        <w:ind w:firstLine="708"/>
        <w:jc w:val="both"/>
      </w:pPr>
    </w:p>
    <w:p w:rsidR="007B3F6B" w:rsidRDefault="007B3F6B" w:rsidP="007B3F6B">
      <w:pPr>
        <w:spacing w:after="0" w:line="240" w:lineRule="auto"/>
        <w:ind w:firstLine="708"/>
        <w:jc w:val="both"/>
      </w:pPr>
      <w:r>
        <w:t>A</w:t>
      </w:r>
      <w:r w:rsidR="0083240F" w:rsidRPr="0083240F">
        <w:t>dvogado</w:t>
      </w:r>
    </w:p>
    <w:p w:rsidR="0083240F" w:rsidRDefault="007B3F6B" w:rsidP="007B3F6B">
      <w:pPr>
        <w:spacing w:after="0" w:line="240" w:lineRule="auto"/>
        <w:ind w:firstLine="708"/>
        <w:jc w:val="both"/>
      </w:pPr>
      <w:r>
        <w:t xml:space="preserve">OAB/UF </w:t>
      </w:r>
      <w:proofErr w:type="spellStart"/>
      <w:r>
        <w:t>xxx</w:t>
      </w:r>
      <w:proofErr w:type="spellEnd"/>
    </w:p>
    <w:sectPr w:rsidR="0083240F" w:rsidSect="00416FE1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6"/>
    <w:rsid w:val="00042A1F"/>
    <w:rsid w:val="00394813"/>
    <w:rsid w:val="003C2A16"/>
    <w:rsid w:val="00406DA4"/>
    <w:rsid w:val="00416FE1"/>
    <w:rsid w:val="00677E4C"/>
    <w:rsid w:val="007A769C"/>
    <w:rsid w:val="007B3F6B"/>
    <w:rsid w:val="0083240F"/>
    <w:rsid w:val="008A33ED"/>
    <w:rsid w:val="0099615F"/>
    <w:rsid w:val="00A4161D"/>
    <w:rsid w:val="00A45F78"/>
    <w:rsid w:val="00AF45BE"/>
    <w:rsid w:val="00D24F3D"/>
    <w:rsid w:val="00E2253E"/>
    <w:rsid w:val="00EA053D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05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rtlet-title-text">
    <w:name w:val="portlet-title-text"/>
    <w:basedOn w:val="Fontepargpadro"/>
    <w:rsid w:val="00EA053D"/>
  </w:style>
  <w:style w:type="paragraph" w:styleId="NormalWeb">
    <w:name w:val="Normal (Web)"/>
    <w:basedOn w:val="Normal"/>
    <w:uiPriority w:val="99"/>
    <w:unhideWhenUsed/>
    <w:rsid w:val="00E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0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05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rtlet-title-text">
    <w:name w:val="portlet-title-text"/>
    <w:basedOn w:val="Fontepargpadro"/>
    <w:rsid w:val="00EA053D"/>
  </w:style>
  <w:style w:type="paragraph" w:styleId="NormalWeb">
    <w:name w:val="Normal (Web)"/>
    <w:basedOn w:val="Normal"/>
    <w:uiPriority w:val="99"/>
    <w:unhideWhenUsed/>
    <w:rsid w:val="00E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0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dl.handle.net/20.500.12178/158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</dc:creator>
  <cp:lastModifiedBy>PALAS</cp:lastModifiedBy>
  <cp:revision>11</cp:revision>
  <cp:lastPrinted>2019-08-15T18:23:00Z</cp:lastPrinted>
  <dcterms:created xsi:type="dcterms:W3CDTF">2019-08-15T17:05:00Z</dcterms:created>
  <dcterms:modified xsi:type="dcterms:W3CDTF">2019-08-15T18:31:00Z</dcterms:modified>
</cp:coreProperties>
</file>